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25.233,93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25.233,93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25.233,93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25.233,93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25.233,93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4844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25.233,93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25.233,93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