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-10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095.370.378-94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CALIX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BEZERRA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2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053/2019,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CHICÃO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ACOM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ANHAR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