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150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1.850,00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1.850,00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1.850,00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1.850,00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1.850,00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1.850,00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1.850,00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