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31.873.376/0001-34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L.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C.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LIMA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EIRELI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644,40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4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P/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BENS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IMÓVEIS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3.3.90.30.24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P/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BENS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IMÓVEIS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PINTURA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APLICADO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CAMARA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644,40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644,40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644,40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644,40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644,40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644,40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